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left="0" w:right="0" w:hanging="0"/>
        <w:jc w:val="both"/>
        <w:outlineLvl w:val="0"/>
        <w:rPr/>
      </w:pPr>
      <w:r>
        <w:rPr/>
      </w:r>
    </w:p>
    <w:p>
      <w:pPr>
        <w:pStyle w:val="ConsPlusNormal"/>
        <w:bidi w:val="0"/>
        <w:ind w:left="0" w:right="0" w:hanging="0"/>
        <w:rPr/>
      </w:pPr>
      <w:r>
        <w:rPr/>
        <w:t>Зарегистрировано в Минюсте России 2 марта 2020 г. N 57643</w:t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ФЕДЕРАЛЬНАЯ СЛУЖБА ПО НАДЗОРУ В СФЕРЕ ЗАЩИТЫ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ПРАВ ПОТРЕБИТЕЛЕЙ И БЛАГОПОЛУЧИЯ ЧЕЛОВЕКА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ГЛАВНЫЙ ГОСУДАРСТВЕННЫЙ САНИТАРНЫЙ ВРАЧ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РОССИЙСКОЙ ФЕДЕРАЦИИ</w:t>
      </w:r>
    </w:p>
    <w:p>
      <w:pPr>
        <w:pStyle w:val="ConsPlusTitle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ПОСТАНОВЛЕНИЕ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2 марта 2020 г. N 5</w:t>
      </w:r>
    </w:p>
    <w:p>
      <w:pPr>
        <w:pStyle w:val="ConsPlusTitle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 ДОПОЛНИТЕЛЬНЫХ МЕРАХ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 СНИЖЕНИЮ РИСКОВ ЗАВОЗА И РАСПРОСТРАНЕНИЯ НОВОЙ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КОРОНАВИРУСНОЙ ИНФЕКЦИИ (2019-NCOV)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связи с продолжающейся угрозой завоза и распространения новой коронавирусной инфекции (2019-nCoV) в соответствии с </w:t>
      </w:r>
      <w:hyperlink r:id="rId2">
        <w:r>
          <w:rPr>
            <w:rStyle w:val="ListLabel1"/>
            <w:color w:val="0000FF"/>
          </w:rPr>
          <w:t>подпунктом 6 пункта 1 статьи 51</w:t>
        </w:r>
      </w:hyperlink>
      <w:r>
        <w:rPr/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bookmarkStart w:id="0" w:name="Par18"/>
      <w:bookmarkEnd w:id="0"/>
      <w:r>
        <w:rPr/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коронавирусной инфекции (2019-nCoV).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коронавирусной инфекции.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1.4. Обеспечить работу "горячей линии" для граждан, вернувшихся с территорий, где зарегистрированы случаи новой коронавирусной инфекции (2019-nCoV), в целях передачи сведений о месте, датах их пребывания и возвращения, контактной информации.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bookmarkStart w:id="1" w:name="Par23"/>
      <w:bookmarkEnd w:id="1"/>
      <w:r>
        <w:rPr/>
        <w:t>2. Руководителям органов исполнительной власти субъектов Российской Федерации в сфере охраны здоровья: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2.1.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бронхо-легочной, сердечно-сосудистой и эндокринной систем).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2.3. Организовать мониторинг обращений лиц, больных ОРВИ (средне-тяжелые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2.4. Уточнить сведения о лицах в возрасте старше 60 лет, а также лицах в возрасте от 20 до 60 лет, страдающих хроническими заболеваниями бронхо-легочной, сердечно-сосудистой и эндокринной систем, проживающих на территории обслуживания медицинской организации.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 Обеспечить: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коронавирусную инфекцию (2019-nCoV).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пульс-оксиметрами; отделений медицинских организаций по оказанию помощи лицам, больным ОРВИ и внебольничными пневмониями - аппаратами для неинвазивной вентиляции легких.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2.5.5. Поддержание неснижаемого запаса противовирусных препаратов, в том числе рекомендованных для лечения новой коронавирусной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2.5.7. На время действия настоящего Постановления обеспечить качественный отбор биологического материала и его доставку исключительно в испытательно-лабораторные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Роспотребнадзором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коронавирусную инфекцию (2019-nCoV) у лиц с ОРВИ,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2.5.8. Медицинское наблюдение на срок 14 календарных дней всех граждан, прибывающих из Исламской Республики Иран и Республики Корея, по месту их пребывания. При появлении у них симптомов, не исключающих новую коронавирусную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2.5.9. Незамедлительное проведение регламентированного комплекса противоэпидемических мероприятий при выявлении подозрения на заболевания новой коронавирусной инфекцией (2019-nCoV).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коронавирусной инфекции (2019-nCoV), в пределах 14 календарных дней с момента их возвращения.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коронавирусной инфекции (2019-nCoV).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2.6. Принять меры: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коронавирусной инфекции (2019-nCoV), в том числе по проведению разъяснительной работы с населением.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 Руководителям территориальных органов Роспотребнадзора: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3.1. Обеспечить контроль за реализацией </w:t>
      </w:r>
      <w:hyperlink w:anchor="Par18" w:tgtFrame="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">
        <w:r>
          <w:rPr>
            <w:rStyle w:val="ListLabel1"/>
            <w:color w:val="0000FF"/>
          </w:rPr>
          <w:t>пунктов 1</w:t>
        </w:r>
      </w:hyperlink>
      <w:r>
        <w:rPr/>
        <w:t xml:space="preserve"> и </w:t>
      </w:r>
      <w:hyperlink w:anchor="Par23" w:tgtFrame="2. Руководителям органов исполнительной власти субъектов Российской Федерации в сфере охраны здоровья:">
        <w:r>
          <w:rPr>
            <w:rStyle w:val="ListLabel1"/>
            <w:color w:val="0000FF"/>
          </w:rPr>
          <w:t>2</w:t>
        </w:r>
      </w:hyperlink>
      <w:r>
        <w:rPr/>
        <w:t xml:space="preserve"> настоящего Постановления.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3.2. При получении позитивных и сомнительных результатов лабораторных исследований на новую коронавирусную инфекцию организовать комплекс противоэпидемических мероприятий.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 Руководителям территориальных органов Роспотребнадзора,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4.2. Организовать отбор материала на новую коронавирусную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5.1. Обеспечить проведение лабораторных исследований на новую коронавирусную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5.2. Обеспечить направление всех положительных и сомнительных результатов для подтверждения в Референс-центр по мониторингу за коронавирусными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Роспотребнадзора.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6. Рекомендовать гражданам, вернувшимся с территорий, где зарегистрированы случаи новой коронавирусной инфекции (2019-nCoV):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(2019-nCoV), для оформления листков нетрудоспособности без посещения медицинских организаций (на дому).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7. Настоящее Постановление вступает в силу со дня его официального опубликования.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8. Контроль за выполнением настоящего Постановления оставляю за собой.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Руководитель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А.Ю.ПОПОВА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imes New Roman"/>
              <w:b/>
              <w:bCs/>
              <w:color w:val="F58220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Times New Roman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Times New Roman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/>
            </w:rPr>
            <w:instrText> PAGE </w:instrText>
          </w:r>
          <w:r>
            <w:rPr>
              <w:sz w:val="20"/>
              <w:szCs w:val="20"/>
              <w:rFonts w:eastAsia="Times New Roman" w:cs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/>
            </w:rPr>
            <w:t>5</w:t>
          </w:r>
          <w:r>
            <w:rPr>
              <w:sz w:val="20"/>
              <w:szCs w:val="20"/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/>
            </w:rPr>
            <w:instrText> NUMPAGES </w:instrText>
          </w:r>
          <w:r>
            <w:rPr>
              <w:sz w:val="20"/>
              <w:szCs w:val="20"/>
              <w:rFonts w:eastAsia="Times New Roman" w:cs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/>
            </w:rPr>
            <w:t>5</w:t>
          </w:r>
          <w:r>
            <w:rPr>
              <w:sz w:val="20"/>
              <w:szCs w:val="20"/>
              <w:rFonts w:eastAsia="Times New Roman" w:cs="Times New Roman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imes New Roman"/>
              <w:b/>
              <w:bCs/>
              <w:color w:val="F58220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Times New Roman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Times New Roman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/>
            </w:rPr>
            <w:instrText> PAGE </w:instrText>
          </w:r>
          <w:r>
            <w:rPr>
              <w:sz w:val="20"/>
              <w:szCs w:val="20"/>
              <w:rFonts w:eastAsia="Times New Roman" w:cs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/>
            </w:rPr>
            <w:t>1</w:t>
          </w:r>
          <w:r>
            <w:rPr>
              <w:sz w:val="20"/>
              <w:szCs w:val="20"/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/>
            </w:rPr>
            <w:instrText> NUMPAGES </w:instrText>
          </w:r>
          <w:r>
            <w:rPr>
              <w:sz w:val="20"/>
              <w:szCs w:val="20"/>
              <w:rFonts w:eastAsia="Times New Roman" w:cs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/>
            </w:rPr>
            <w:t>5</w:t>
          </w:r>
          <w:r>
            <w:rPr>
              <w:sz w:val="20"/>
              <w:szCs w:val="20"/>
              <w:rFonts w:eastAsia="Times New Roman" w:cs="Times New Roman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  <w:t>Постановление Главного государственного санитарного врача РФ от 02.03.2020 N 5</w:t>
          </w:r>
          <w:r>
            <w:rPr/>
            <w:br/>
          </w: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  <w:t>"О дополнительных мерах по снижению риско...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Times New Roman" w:hAnsi="Times New Roman" w:eastAsia="Times New Roman" w:cs="Times New Roman"/>
              <w:sz w:val="24"/>
              <w:szCs w:val="24"/>
              <w:lang w:val="ru-RU" w:eastAsia="ru-RU" w:bidi="ar-SA"/>
            </w:rPr>
          </w:pPr>
          <w:r>
            <w:rPr>
              <w:rFonts w:eastAsia="Times New Roman" w:cs="Times New Roman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Times New Roman" w:hAnsi="Times New Roman" w:eastAsia="Times New Roman" w:cs="Times New Roman"/>
              <w:sz w:val="24"/>
              <w:szCs w:val="24"/>
              <w:lang w:val="ru-RU" w:eastAsia="ru-RU" w:bidi="ar-SA"/>
            </w:rPr>
          </w:pPr>
          <w:r>
            <w:rPr>
              <w:rFonts w:eastAsia="Times New Roman" w:cs="Times New Roman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Times New Roman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  <w:t>Дата сохранения: 19.03.2020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Times New Roman"/>
        <w:sz w:val="10"/>
        <w:szCs w:val="10"/>
        <w:lang w:val="ru-RU" w:eastAsia="ru-RU" w:bidi="ar-SA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rFonts w:ascii="Times New Roman" w:hAnsi="Times New Roman" w:eastAsia="Times New Roman" w:cs="Times New Roman"/>
              <w:sz w:val="24"/>
              <w:szCs w:val="24"/>
              <w:lang w:val="ru-RU" w:eastAsia="ru-RU" w:bidi="ar-SA"/>
            </w:rPr>
          </w:pPr>
          <w:r>
            <w:rPr/>
            <w:drawing>
              <wp:inline distT="0" distB="0" distL="0" distR="0">
                <wp:extent cx="1905000" cy="447675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  <w:t>Постановление Главного государственного санитарного врача РФ от 02.03.2020 N 5</w:t>
          </w:r>
          <w:r>
            <w:rPr/>
            <w:br/>
          </w: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  <w:t>"О дополнительных мерах по снижению риско...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Times New Roman" w:hAnsi="Times New Roman" w:eastAsia="Times New Roman" w:cs="Times New Roman"/>
              <w:sz w:val="24"/>
              <w:szCs w:val="24"/>
              <w:lang w:val="ru-RU" w:eastAsia="ru-RU" w:bidi="ar-SA"/>
            </w:rPr>
          </w:pPr>
          <w:r>
            <w:rPr>
              <w:rFonts w:eastAsia="Times New Roman" w:cs="Times New Roman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Times New Roman" w:hAnsi="Times New Roman" w:eastAsia="Times New Roman" w:cs="Times New Roman"/>
              <w:sz w:val="24"/>
              <w:szCs w:val="24"/>
              <w:lang w:val="ru-RU" w:eastAsia="ru-RU" w:bidi="ar-SA"/>
            </w:rPr>
          </w:pPr>
          <w:r>
            <w:rPr>
              <w:rFonts w:eastAsia="Times New Roman" w:cs="Times New Roman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2">
            <w:r>
              <w:rPr>
                <w:rStyle w:val="ListLabel2"/>
                <w:rFonts w:eastAsia="Times New Roman" w:cs="Times New Roman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  <w:t>Дата сохранения: 19.03.2020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Times New Roman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color w:val="0000FF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18"/>
      <w:szCs w:val="18"/>
      <w:lang w:val="ru-RU" w:eastAsia="ru-RU" w:bidi="ar-SA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bCs/>
      <w:color w:val="0000FF"/>
      <w:sz w:val="20"/>
      <w:szCs w:val="20"/>
      <w:lang w:val="ru-RU" w:eastAsia="ru-RU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ZB&amp;n=330127&amp;date=19.03.2020&amp;dst=100356&amp;fld=134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  <Pages>99</Pages>
  <Words>1634</Words>
  <Characters>10931</Characters>
  <CharactersWithSpaces>9318</CharactersWithSpace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2020-03-19T11:23:00Z</dcterms:created>
  <dc:creator>User</dc:creator>
  <dc:description/>
  <dc:language>en-US</dc:language>
  <cp:lastModifiedBy/>
  <dcterms:modified xsi:type="dcterms:W3CDTF">2020-03-19T11:23:00Z</dcterms:modified>
  <cp:revision>2</cp:revision>
  <dc:subject/>
  <dc:title>Постановление Главного государственного санитарного врача РФ от 02.03.2020 N 5"О дополнительных мерах по снижению рисков завоза и распространения новой коронавирусной инфекции (2019-nCoV)"(Зарегистрировано в Минюсте России 02.03.2020 N 57643)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  <property fmtid="{D5CDD505-2E9C-101B-9397-08002B2CF9AE}" pid="3" name="Operator">
    <vt:lpwstr>User</vt:lpwstr>
  </property>
</Properties>
</file>